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8897" w:type="dxa"/>
        <w:tblLayout w:type="fixed"/>
        <w:tblLook w:val="04A0" w:firstRow="1" w:lastRow="0" w:firstColumn="1" w:lastColumn="0" w:noHBand="0" w:noVBand="1"/>
      </w:tblPr>
      <w:tblGrid>
        <w:gridCol w:w="1668"/>
        <w:gridCol w:w="7229"/>
      </w:tblGrid>
      <w:tr w:rsidR="001A7E95">
        <w:trPr>
          <w:trHeight w:val="1270"/>
        </w:trPr>
        <w:tc>
          <w:tcPr>
            <w:tcW w:w="1668" w:type="dxa"/>
            <w:tcBorders>
              <w:right w:val="nil"/>
            </w:tcBorders>
            <w:vAlign w:val="center"/>
          </w:tcPr>
          <w:p w:rsidR="001A7E95" w:rsidRDefault="004869B9">
            <w:pPr>
              <w:pStyle w:val="Cabealho"/>
              <w:widowControl w:val="0"/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pt-BR"/>
              </w:rPr>
              <w:drawing>
                <wp:inline distT="0" distB="0" distL="0" distR="0">
                  <wp:extent cx="800100" cy="619125"/>
                  <wp:effectExtent l="0" t="0" r="0" b="0"/>
                  <wp:docPr id="1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8" w:type="dxa"/>
            <w:tcBorders>
              <w:left w:val="nil"/>
            </w:tcBorders>
            <w:vAlign w:val="center"/>
          </w:tcPr>
          <w:p w:rsidR="001A7E95" w:rsidRDefault="004869B9">
            <w:pPr>
              <w:pStyle w:val="Cabealho"/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Prefeitura Municipal de Venda Nova do Imigrante</w:t>
            </w:r>
          </w:p>
          <w:p w:rsidR="001A7E95" w:rsidRDefault="001A7E95">
            <w:pPr>
              <w:pStyle w:val="Cabealho"/>
              <w:widowControl w:val="0"/>
              <w:rPr>
                <w:b/>
                <w:sz w:val="6"/>
                <w:szCs w:val="6"/>
              </w:rPr>
            </w:pPr>
          </w:p>
          <w:p w:rsidR="001A7E95" w:rsidRDefault="004869B9">
            <w:pPr>
              <w:pStyle w:val="Rodap"/>
              <w:widowControl w:val="0"/>
              <w:rPr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</w:r>
            <w:r>
              <w:rPr>
                <w:rFonts w:eastAsia="Calibri"/>
                <w:b/>
                <w:sz w:val="16"/>
                <w:szCs w:val="16"/>
              </w:rPr>
              <w:softHyphen/>
              <w:t>Av. Evandi Américo Comarela, 385, Esplanada, Venda Nova do Imigrante/ES</w:t>
            </w:r>
          </w:p>
          <w:p w:rsidR="001A7E95" w:rsidRDefault="004869B9">
            <w:pPr>
              <w:pStyle w:val="Rodap"/>
              <w:widowControl w:val="0"/>
              <w:rPr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CNPJ.: 31.723.497/0001-08  - CEP: 29375-000  - Telefone: (28) 3546-1188</w:t>
            </w:r>
          </w:p>
        </w:tc>
      </w:tr>
    </w:tbl>
    <w:p w:rsidR="001A7E95" w:rsidRDefault="001A7E95">
      <w:pPr>
        <w:spacing w:after="0" w:line="240" w:lineRule="auto"/>
        <w:jc w:val="both"/>
      </w:pPr>
    </w:p>
    <w:tbl>
      <w:tblPr>
        <w:tblStyle w:val="Tabelacomgrade"/>
        <w:tblpPr w:leftFromText="141" w:rightFromText="141" w:vertAnchor="text" w:tblpY="1"/>
        <w:tblW w:w="8897" w:type="dxa"/>
        <w:tblLayout w:type="fixed"/>
        <w:tblLook w:val="04A0" w:firstRow="1" w:lastRow="0" w:firstColumn="1" w:lastColumn="0" w:noHBand="0" w:noVBand="1"/>
      </w:tblPr>
      <w:tblGrid>
        <w:gridCol w:w="8897"/>
      </w:tblGrid>
      <w:tr w:rsidR="001A7E95">
        <w:trPr>
          <w:trHeight w:val="913"/>
        </w:trPr>
        <w:tc>
          <w:tcPr>
            <w:tcW w:w="8897" w:type="dxa"/>
            <w:shd w:val="clear" w:color="auto" w:fill="D9D9D9" w:themeFill="background1" w:themeFillShade="D9"/>
            <w:vAlign w:val="center"/>
          </w:tcPr>
          <w:p w:rsidR="001A7E95" w:rsidRDefault="004869B9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ESTUDO TÉCNICO PRELIMINAR</w:t>
            </w:r>
          </w:p>
        </w:tc>
      </w:tr>
      <w:tr w:rsidR="001A7E95">
        <w:trPr>
          <w:trHeight w:val="1209"/>
        </w:trPr>
        <w:tc>
          <w:tcPr>
            <w:tcW w:w="8897" w:type="dxa"/>
            <w:vAlign w:val="center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Este Estudo Técnico Preliminar - ETP - tem como objetivo assegurar a viabilidade técnica e a razoabilidade da contratação pública, para contratação de empresa especializada para Construção da Farmácia Cidadã. Servindo como base para a elaboração do Projeto Básico, de acordo com a Lei 8.666/1993, art. 6º, inciso IX.</w:t>
            </w:r>
          </w:p>
        </w:tc>
      </w:tr>
    </w:tbl>
    <w:tbl>
      <w:tblPr>
        <w:tblStyle w:val="Tabelacomgrade"/>
        <w:tblW w:w="8897" w:type="dxa"/>
        <w:tblLayout w:type="fixed"/>
        <w:tblLook w:val="04A0" w:firstRow="1" w:lastRow="0" w:firstColumn="1" w:lastColumn="0" w:noHBand="0" w:noVBand="1"/>
      </w:tblPr>
      <w:tblGrid>
        <w:gridCol w:w="4361"/>
        <w:gridCol w:w="4536"/>
      </w:tblGrid>
      <w:tr w:rsidR="001A7E95">
        <w:trPr>
          <w:trHeight w:val="403"/>
        </w:trPr>
        <w:tc>
          <w:tcPr>
            <w:tcW w:w="4361" w:type="dxa"/>
            <w:vAlign w:val="center"/>
          </w:tcPr>
          <w:p w:rsidR="001A7E95" w:rsidRDefault="001A7E95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535" w:type="dxa"/>
            <w:vAlign w:val="center"/>
          </w:tcPr>
          <w:p w:rsidR="001A7E95" w:rsidRDefault="004869B9" w:rsidP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Data da </w:t>
            </w:r>
            <w:r w:rsidRPr="004869B9">
              <w:rPr>
                <w:b/>
              </w:rPr>
              <w:t>Elaboração: 25/11/2022</w:t>
            </w:r>
          </w:p>
        </w:tc>
      </w:tr>
      <w:tr w:rsidR="001A7E95">
        <w:tc>
          <w:tcPr>
            <w:tcW w:w="8896" w:type="dxa"/>
            <w:gridSpan w:val="2"/>
            <w:vAlign w:val="center"/>
          </w:tcPr>
          <w:p w:rsidR="001A7E95" w:rsidRDefault="001A7E95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4869B9" w:rsidRDefault="004869B9" w:rsidP="004869B9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Justificativa da necessidade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Eduardo Delfino Botacim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elaboração da especificação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Eduardo Delfino Botacim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aprovação da especificação – </w:t>
            </w:r>
            <w:r>
              <w:rPr>
                <w:rFonts w:eastAsia="Calibri"/>
                <w:b/>
                <w:bCs/>
                <w:sz w:val="20"/>
                <w:szCs w:val="20"/>
              </w:rPr>
              <w:t>Maria Casagrande Lachini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elaboração do quantitativo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Eduardo Delfino Botacim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aprovação do quantitativo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Maria Casagrande Lachini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elaboração da pesquisa de mercado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Eduardo Delfino Botacim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aprovação da pesquisa de mercado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Maria Casagrande Lachini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elaboração ETP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Eduardo Delfino Botacim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aprovação ETP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Maria Casagrande Lachini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elaboração do Projeto Básico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Eduardo Delfino Botacim</w:t>
            </w:r>
          </w:p>
          <w:p w:rsidR="004869B9" w:rsidRDefault="004869B9" w:rsidP="004869B9">
            <w:pPr>
              <w:pStyle w:val="PargrafodaLista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Responsável pela aprovação do Projeto Básico - </w:t>
            </w:r>
            <w:r>
              <w:rPr>
                <w:rFonts w:eastAsia="Calibri"/>
                <w:b/>
                <w:bCs/>
                <w:sz w:val="20"/>
                <w:szCs w:val="20"/>
              </w:rPr>
              <w:t>Maria Casagrande Lachini</w:t>
            </w: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</w:p>
        </w:tc>
      </w:tr>
    </w:tbl>
    <w:p w:rsidR="001A7E95" w:rsidRDefault="001A7E95">
      <w:pPr>
        <w:spacing w:after="0" w:line="240" w:lineRule="auto"/>
        <w:jc w:val="both"/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1. DESCRIÇÃO DA NECESSIDADE </w:t>
            </w:r>
          </w:p>
        </w:tc>
      </w:tr>
      <w:tr w:rsidR="001A7E95">
        <w:tc>
          <w:tcPr>
            <w:tcW w:w="8927" w:type="dxa"/>
          </w:tcPr>
          <w:p w:rsidR="001A7E95" w:rsidRDefault="001A7E9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4869B9" w:rsidRDefault="004869B9" w:rsidP="004869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A construção da Farmácia Cidadã foi pensada considerando a necessidade da população do município de Venda Nova do Imigrante.</w:t>
            </w: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2. REQUISITOS DA CONTRATAÇÃO</w:t>
            </w:r>
          </w:p>
        </w:tc>
      </w:tr>
      <w:tr w:rsidR="001A7E95">
        <w:tc>
          <w:tcPr>
            <w:tcW w:w="8927" w:type="dxa"/>
          </w:tcPr>
          <w:p w:rsidR="001A7E95" w:rsidRDefault="001A7E95">
            <w:pPr>
              <w:widowControl w:val="0"/>
              <w:spacing w:after="0" w:line="240" w:lineRule="auto"/>
              <w:rPr>
                <w:rFonts w:eastAsia="Calibri"/>
              </w:rPr>
            </w:pPr>
          </w:p>
          <w:p w:rsidR="001A7E95" w:rsidRDefault="004869B9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A empresa a ser contratada deverá possuir a seguinte QUALIFICAÇÃO TÉCNICA </w:t>
            </w:r>
          </w:p>
          <w:p w:rsidR="001A7E95" w:rsidRDefault="001A7E95">
            <w:pPr>
              <w:widowControl w:val="0"/>
              <w:spacing w:after="0" w:line="240" w:lineRule="auto"/>
              <w:ind w:firstLine="360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a) </w:t>
            </w:r>
            <w:r>
              <w:rPr>
                <w:rFonts w:eastAsia="Calibri"/>
                <w:sz w:val="20"/>
                <w:szCs w:val="20"/>
              </w:rPr>
              <w:t>Registro e regularidade da licitante e de seus responsáveis técnicos nas entidades profissionais competentes que permita a execução dos serviços, objeto desta licitação, comprov</w:t>
            </w:r>
            <w:r>
              <w:rPr>
                <w:rFonts w:eastAsia="Calibri"/>
                <w:sz w:val="20"/>
                <w:szCs w:val="20"/>
              </w:rPr>
              <w:t>ada através de certidão do órgão e em dia. Obs.: caso a empresa vencedora da licitação seja de outro estado, na assinatura do contrato, a empresa e/ou o responsável técnico com sede ou acervo técnico de outro estado, deverão apresentar o registro de regula</w:t>
            </w:r>
            <w:r>
              <w:rPr>
                <w:rFonts w:eastAsia="Calibri"/>
                <w:sz w:val="20"/>
                <w:szCs w:val="20"/>
              </w:rPr>
              <w:t xml:space="preserve">ridade com visto no CREA/CAU/ES, conforme lei nº 5.194/66 e resoluções 266/79 e 413/97 do CONFEA. </w:t>
            </w:r>
          </w:p>
          <w:p w:rsidR="001A7E95" w:rsidRDefault="001A7E95">
            <w:pPr>
              <w:widowControl w:val="0"/>
              <w:spacing w:after="0" w:line="240" w:lineRule="auto"/>
              <w:ind w:firstLine="360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b)</w:t>
            </w:r>
            <w:r>
              <w:rPr>
                <w:rFonts w:eastAsia="Calibri"/>
                <w:sz w:val="20"/>
                <w:szCs w:val="20"/>
              </w:rPr>
              <w:t xml:space="preserve"> Certificado de cadastramento/habilitação emitido pela prefeitura municipal de Venda Nova do Imigrante, em dia, na data da abertura da licitação. </w:t>
            </w:r>
          </w:p>
          <w:p w:rsidR="001A7E95" w:rsidRDefault="001A7E95">
            <w:pPr>
              <w:widowControl w:val="0"/>
              <w:spacing w:after="0" w:line="240" w:lineRule="auto"/>
              <w:ind w:firstLine="360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c) </w:t>
            </w:r>
            <w:r>
              <w:rPr>
                <w:rFonts w:eastAsia="Calibri"/>
                <w:sz w:val="20"/>
                <w:szCs w:val="20"/>
              </w:rPr>
              <w:t xml:space="preserve">Comprovação de aptidão para desempenho da atividade pertinente e compatível em </w:t>
            </w:r>
            <w:r>
              <w:rPr>
                <w:rFonts w:eastAsia="Calibri"/>
                <w:sz w:val="20"/>
                <w:szCs w:val="20"/>
              </w:rPr>
              <w:lastRenderedPageBreak/>
              <w:t>características com o objeto da licitação e indicação do objeto, bem como da qualificação dos membros da equipe técnica. O acervo técnico deverá constar todos os técnicos relaci</w:t>
            </w:r>
            <w:r>
              <w:rPr>
                <w:rFonts w:eastAsia="Calibri"/>
                <w:sz w:val="20"/>
                <w:szCs w:val="20"/>
              </w:rPr>
              <w:t xml:space="preserve">onados no CAT. </w:t>
            </w:r>
          </w:p>
          <w:p w:rsidR="001A7E95" w:rsidRDefault="001A7E95">
            <w:pPr>
              <w:widowControl w:val="0"/>
              <w:spacing w:after="0" w:line="240" w:lineRule="auto"/>
              <w:ind w:firstLine="360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d)</w:t>
            </w:r>
            <w:r>
              <w:rPr>
                <w:rFonts w:eastAsia="Calibri"/>
                <w:sz w:val="20"/>
                <w:szCs w:val="20"/>
              </w:rPr>
              <w:t xml:space="preserve"> A comprovação da capacidade técnica será feita da seguinte forma: </w:t>
            </w:r>
          </w:p>
          <w:p w:rsidR="001A7E95" w:rsidRDefault="001A7E95">
            <w:pPr>
              <w:widowControl w:val="0"/>
              <w:spacing w:after="0" w:line="240" w:lineRule="auto"/>
              <w:ind w:firstLine="360"/>
              <w:jc w:val="both"/>
              <w:rPr>
                <w:sz w:val="20"/>
                <w:szCs w:val="20"/>
              </w:rPr>
            </w:pPr>
          </w:p>
          <w:p w:rsidR="004869B9" w:rsidRPr="001C71D6" w:rsidRDefault="004869B9" w:rsidP="004869B9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eastAsia="Calibri"/>
                <w:sz w:val="20"/>
                <w:szCs w:val="20"/>
              </w:rPr>
              <w:t>Atestado de desempenho anterior, emitido por pessoas jurídicas de direito público ou privado, acompanhado das respectivas certidões de acervo técnico (CAT), expedidas p</w:t>
            </w:r>
            <w:r>
              <w:rPr>
                <w:rFonts w:eastAsia="Calibri"/>
                <w:sz w:val="20"/>
                <w:szCs w:val="20"/>
              </w:rPr>
              <w:t>elo profissional de nível superior ou médio detentor da anotação de responsabilidade técnica - ART, comprovando a prestação de serviços de características técnicas compatíveis às do objeto da presente licitação. São os índices de r</w:t>
            </w:r>
            <w:r w:rsidRPr="004869B9">
              <w:rPr>
                <w:rFonts w:eastAsia="Calibri"/>
                <w:sz w:val="20"/>
                <w:szCs w:val="20"/>
              </w:rPr>
              <w:t xml:space="preserve">elevância: </w:t>
            </w:r>
            <w:r w:rsidRPr="004869B9">
              <w:rPr>
                <w:sz w:val="20"/>
                <w:szCs w:val="20"/>
              </w:rPr>
              <w:t>São os índices de relevância: estrutura de concreto armado que corresponde a 28,6% do valor total da obra, estrutura de aço pesado e cobertura em telha termoacústica que corresponde a 20,7% do valor total da obra e piso em granilite que corresponde a 10,1% do valor total da obra. Estes itens correspondem a 59,4% da obra, visto isso, é necessário que o profissional tenha conhecimento prévio dos serviços citados anteriormente para que exista uma garantia de que a execução seja feita de acordo com os parâmetros, normas e métodos executivos corretos.</w:t>
            </w:r>
          </w:p>
          <w:p w:rsidR="001A7E95" w:rsidRDefault="001A7E95">
            <w:pPr>
              <w:pStyle w:val="PargrafodaLista"/>
              <w:widowControl w:val="0"/>
              <w:spacing w:after="0" w:line="240" w:lineRule="auto"/>
              <w:ind w:left="1788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pStyle w:val="PargrafodaLista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 profissional de nível superior detentor do acervo técnico poderá ser diretor, sócio ou</w:t>
            </w:r>
            <w:r>
              <w:rPr>
                <w:rFonts w:eastAsia="Calibri"/>
                <w:sz w:val="20"/>
                <w:szCs w:val="20"/>
              </w:rPr>
              <w:t xml:space="preserve"> fazer parte do quadro de trabalho da empresa licitante, na condição de empregado, cujo vínculo deverá existir na data da abertura da proposta da referida licitação e deverá estar devidamente registrado no conselho regional regulamentador do exercício prof</w:t>
            </w:r>
            <w:r>
              <w:rPr>
                <w:rFonts w:eastAsia="Calibri"/>
                <w:sz w:val="20"/>
                <w:szCs w:val="20"/>
              </w:rPr>
              <w:t xml:space="preserve">issional, comprovando, obrigatoriamente tal condição; </w:t>
            </w:r>
          </w:p>
          <w:p w:rsidR="001A7E95" w:rsidRDefault="001A7E95">
            <w:pPr>
              <w:widowControl w:val="0"/>
              <w:spacing w:after="0" w:line="240" w:lineRule="auto"/>
              <w:ind w:firstLine="360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pStyle w:val="PargrafodaLista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Atestado de conclusão do serviço e descrição dos serviços executados; comprovação de vínculo de trabalho entre os técnicos indicados e a empresa licitante, esta comprovação poderá ser feita através de</w:t>
            </w:r>
            <w:r>
              <w:rPr>
                <w:rFonts w:eastAsia="Calibri"/>
                <w:sz w:val="20"/>
                <w:szCs w:val="20"/>
              </w:rPr>
              <w:t xml:space="preserve"> CTPS ou contrato de trabalho ou CREA/CAU.</w:t>
            </w:r>
          </w:p>
          <w:p w:rsidR="001A7E95" w:rsidRDefault="001A7E95">
            <w:pPr>
              <w:pStyle w:val="PargrafodaLista"/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e)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Capacidade Técnica Operacional</w:t>
            </w: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pStyle w:val="PargrafodaLista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Comprovação de que a licitante executou/prestou, sem restrição, projeto, serviço e obra de características semelhantes ao licitado. A comprovação será feita por meio de </w:t>
            </w:r>
            <w:r>
              <w:rPr>
                <w:rFonts w:eastAsia="Calibri"/>
                <w:sz w:val="20"/>
                <w:szCs w:val="20"/>
              </w:rPr>
              <w:t>apresentação de no mínimo 1 (um) Atestado com a devida ART de Execução da obra atestada;</w:t>
            </w:r>
          </w:p>
          <w:p w:rsidR="001A7E95" w:rsidRDefault="001A7E95">
            <w:pPr>
              <w:pStyle w:val="PargrafodaLista"/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características semelhantes para comprovação da capacidade técnico- operacional da licitante, na forma do art. 30, II c/c § 2º, da Lei Federal n. 8.666/93, são, cu</w:t>
            </w:r>
            <w:r>
              <w:rPr>
                <w:sz w:val="20"/>
                <w:szCs w:val="20"/>
              </w:rPr>
              <w:t>mulativamente.</w:t>
            </w: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 comprovação da capacidade técnica-operacional, deverá ser apresentado Comprovação de vínculo de trabalho entre o profissional detentor da ART de Execução da obra atestada e a empresa licitante, que poderá ser feita através de CTPS ou c</w:t>
            </w:r>
            <w:r>
              <w:rPr>
                <w:sz w:val="20"/>
                <w:szCs w:val="20"/>
              </w:rPr>
              <w:t>ontrato de trabalho ou CREA/CAU, referenciada a época da execução da obra/serviço;</w:t>
            </w: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A7E95" w:rsidRDefault="004869B9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Será admitido o somatório de atestados, seja para comprovação de experiência anterior da licitante na execução das obras e/ou serviços de engenharia.</w:t>
            </w: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3. LEVANTAMENTO DE </w:t>
            </w:r>
            <w:r>
              <w:rPr>
                <w:rFonts w:eastAsia="Calibri"/>
                <w:b/>
              </w:rPr>
              <w:t>MERCADO</w:t>
            </w:r>
          </w:p>
        </w:tc>
      </w:tr>
      <w:tr w:rsidR="001A7E95">
        <w:tc>
          <w:tcPr>
            <w:tcW w:w="8927" w:type="dxa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color w:val="0000FF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Levantamento de preços baseado em planilhas de composições de custos fornecidas pelo Estado e Federação. (IOPES e SINAPI).</w:t>
            </w:r>
          </w:p>
        </w:tc>
      </w:tr>
    </w:tbl>
    <w:p w:rsidR="001A7E95" w:rsidRDefault="001A7E95">
      <w:pPr>
        <w:spacing w:after="0" w:line="240" w:lineRule="auto"/>
        <w:rPr>
          <w:b/>
          <w:sz w:val="20"/>
          <w:szCs w:val="20"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4. DESCRIÇÃO DA SOLUÇÃO COMO UM TODO</w:t>
            </w:r>
          </w:p>
        </w:tc>
      </w:tr>
      <w:tr w:rsidR="001A7E95">
        <w:tc>
          <w:tcPr>
            <w:tcW w:w="8927" w:type="dxa"/>
          </w:tcPr>
          <w:p w:rsidR="004869B9" w:rsidRDefault="004869B9" w:rsidP="004869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A solução adotada foi o desenvolvimento de um novo projeto, que será executado no terreno do município, próximo a futura unidade de saúde do bairro Marmim. O projeto da farmácia cidadã será uma construção em concreto armado e cobertura metálica com depósito de remédio climatizado, salas para atendimento e hall de entrada. </w:t>
            </w:r>
          </w:p>
          <w:p w:rsidR="001A7E95" w:rsidRDefault="001A7E95">
            <w:pPr>
              <w:widowControl w:val="0"/>
              <w:spacing w:after="0" w:line="240" w:lineRule="auto"/>
              <w:jc w:val="both"/>
              <w:rPr>
                <w:color w:val="C9211E"/>
                <w:sz w:val="20"/>
                <w:szCs w:val="20"/>
                <w:shd w:val="clear" w:color="auto" w:fill="FFFF00"/>
              </w:rPr>
            </w:pP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5. ESTIMATIVA</w:t>
            </w:r>
            <w:r>
              <w:rPr>
                <w:rFonts w:eastAsia="Calibri"/>
                <w:b/>
              </w:rPr>
              <w:t xml:space="preserve"> DAS QUANTIDADES</w:t>
            </w:r>
          </w:p>
        </w:tc>
      </w:tr>
      <w:tr w:rsidR="001A7E95">
        <w:tc>
          <w:tcPr>
            <w:tcW w:w="8927" w:type="dxa"/>
          </w:tcPr>
          <w:p w:rsidR="004869B9" w:rsidRDefault="004869B9" w:rsidP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As quantidades de materiais foram levantadas tendo como base o projeto executivo. </w:t>
            </w:r>
          </w:p>
          <w:p w:rsidR="001A7E95" w:rsidRDefault="004869B9" w:rsidP="004869B9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</w:rPr>
              <w:t>Seus valores podem ser verificados na memória de cálculo em anexo.</w:t>
            </w: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6. ESTIMATIVA DO VA</w:t>
            </w:r>
            <w:r>
              <w:rPr>
                <w:rFonts w:eastAsia="Calibri"/>
                <w:b/>
              </w:rPr>
              <w:t>LOR DA CONTRATAÇÃO</w:t>
            </w:r>
          </w:p>
        </w:tc>
      </w:tr>
      <w:tr w:rsidR="001A7E95">
        <w:tc>
          <w:tcPr>
            <w:tcW w:w="8927" w:type="dxa"/>
          </w:tcPr>
          <w:p w:rsidR="004869B9" w:rsidRDefault="004869B9" w:rsidP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O valor estimado da contratação foi obtido a partir dos referenciais de preços de serviços disponibilizados pelo governo estadual e pelo governo federal. (IOPES e SINAPI).  </w:t>
            </w:r>
          </w:p>
          <w:p w:rsidR="001A7E95" w:rsidRDefault="004869B9" w:rsidP="004869B9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sz w:val="20"/>
                <w:szCs w:val="20"/>
              </w:rPr>
              <w:t>A proposta da Prefeitura Municipal pode ser verificada na planilha orçamentária em anexo.</w:t>
            </w: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7. PARCELAMENTO OU NÃO DA SOLUÇÃO</w:t>
            </w:r>
          </w:p>
        </w:tc>
      </w:tr>
      <w:tr w:rsidR="001A7E95">
        <w:tc>
          <w:tcPr>
            <w:tcW w:w="8927" w:type="dxa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A licitação sob regime de empreitada por preço unitário.</w:t>
            </w:r>
          </w:p>
        </w:tc>
      </w:tr>
    </w:tbl>
    <w:p w:rsidR="001A7E95" w:rsidRDefault="001A7E95">
      <w:pPr>
        <w:spacing w:after="0" w:line="240" w:lineRule="auto"/>
        <w:rPr>
          <w:b/>
          <w:sz w:val="20"/>
          <w:szCs w:val="20"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8. CONTRATAÇÕES CORRELATAS E/OU INTERDEPENDENTES</w:t>
            </w:r>
          </w:p>
        </w:tc>
      </w:tr>
      <w:tr w:rsidR="001A7E95">
        <w:tc>
          <w:tcPr>
            <w:tcW w:w="8927" w:type="dxa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sz w:val="20"/>
                <w:szCs w:val="20"/>
              </w:rPr>
              <w:t>Não há necessidade de contratações correlatas.</w:t>
            </w:r>
            <w:r>
              <w:rPr>
                <w:rFonts w:eastAsia="Calibri"/>
              </w:rPr>
              <w:t xml:space="preserve"> </w:t>
            </w: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9. ALINHAMENTO ENTRE A CONTRATAÇÃO E O </w:t>
            </w:r>
            <w:r>
              <w:rPr>
                <w:rFonts w:eastAsia="Calibri"/>
                <w:b/>
              </w:rPr>
              <w:t>PLANEJAMENTO</w:t>
            </w:r>
          </w:p>
        </w:tc>
      </w:tr>
      <w:tr w:rsidR="001A7E95">
        <w:tc>
          <w:tcPr>
            <w:tcW w:w="8927" w:type="dxa"/>
          </w:tcPr>
          <w:p w:rsidR="001A7E95" w:rsidRPr="004869B9" w:rsidRDefault="004869B9">
            <w:pPr>
              <w:widowControl w:val="0"/>
              <w:spacing w:after="0" w:line="240" w:lineRule="auto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4869B9">
              <w:rPr>
                <w:rFonts w:eastAsia="Calibri"/>
                <w:color w:val="000000"/>
                <w:sz w:val="20"/>
                <w:szCs w:val="20"/>
              </w:rPr>
              <w:t>É necessário que seja</w:t>
            </w:r>
            <w:r>
              <w:rPr>
                <w:rFonts w:eastAsia="Calibri"/>
                <w:color w:val="000000"/>
                <w:sz w:val="20"/>
                <w:szCs w:val="20"/>
              </w:rPr>
              <w:t>m</w:t>
            </w:r>
            <w:r w:rsidRPr="004869B9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4869B9">
              <w:rPr>
                <w:rFonts w:eastAsia="Calibri"/>
                <w:color w:val="000000"/>
                <w:sz w:val="20"/>
                <w:szCs w:val="20"/>
              </w:rPr>
              <w:t>seguindo</w:t>
            </w:r>
            <w:r>
              <w:rPr>
                <w:rFonts w:eastAsia="Calibri"/>
                <w:color w:val="000000"/>
                <w:sz w:val="20"/>
                <w:szCs w:val="20"/>
              </w:rPr>
              <w:t>s</w:t>
            </w:r>
            <w:r w:rsidRPr="004869B9">
              <w:rPr>
                <w:rFonts w:eastAsia="Calibri"/>
                <w:color w:val="000000"/>
                <w:sz w:val="20"/>
                <w:szCs w:val="20"/>
              </w:rPr>
              <w:t xml:space="preserve"> os projetos, planilha orçamentária e o cronograma físico-financeiro a fim de que não ocorra uma execução divergente da solicitada. Para dessa forma o projeto já executado consiga atende</w:t>
            </w:r>
            <w:r w:rsidRPr="004869B9">
              <w:rPr>
                <w:rFonts w:eastAsia="Calibri"/>
                <w:color w:val="000000"/>
                <w:sz w:val="20"/>
                <w:szCs w:val="20"/>
              </w:rPr>
              <w:t>r as necessidades das atividades a serem executadas na</w:t>
            </w:r>
            <w:r>
              <w:rPr>
                <w:rFonts w:eastAsia="Calibri"/>
                <w:sz w:val="20"/>
                <w:szCs w:val="20"/>
              </w:rPr>
              <w:t xml:space="preserve"> Farmácia Popular</w:t>
            </w:r>
            <w:r w:rsidRPr="004869B9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</w:p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4869B9">
              <w:rPr>
                <w:rFonts w:eastAsia="Calibri"/>
                <w:color w:val="000000"/>
                <w:sz w:val="20"/>
                <w:szCs w:val="20"/>
              </w:rPr>
              <w:t>Por essa razão, a estratégia de contratação</w:t>
            </w:r>
            <w:r>
              <w:rPr>
                <w:rFonts w:eastAsia="Calibri"/>
                <w:color w:val="00000A"/>
                <w:sz w:val="20"/>
                <w:szCs w:val="20"/>
              </w:rPr>
              <w:t xml:space="preserve"> mais conveniente dá-se pela modalidade tomada de preços, </w:t>
            </w:r>
            <w:r>
              <w:rPr>
                <w:rFonts w:eastAsia="Calibri"/>
                <w:color w:val="000000"/>
                <w:sz w:val="20"/>
                <w:szCs w:val="20"/>
              </w:rPr>
              <w:t>com fundamento no art. 22 da lei 8.666/93,</w:t>
            </w:r>
            <w:r>
              <w:rPr>
                <w:rFonts w:eastAsia="Calibri"/>
                <w:sz w:val="20"/>
                <w:szCs w:val="20"/>
              </w:rPr>
              <w:t xml:space="preserve"> sob regime de empreitada por preço</w:t>
            </w:r>
            <w:r>
              <w:rPr>
                <w:rFonts w:eastAsia="Calibri"/>
                <w:sz w:val="20"/>
                <w:szCs w:val="20"/>
              </w:rPr>
              <w:t xml:space="preserve"> unitário.</w:t>
            </w: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10. RESULTADOS PRETENDIDOS</w:t>
            </w:r>
          </w:p>
        </w:tc>
      </w:tr>
      <w:tr w:rsidR="001A7E95">
        <w:trPr>
          <w:trHeight w:val="294"/>
        </w:trPr>
        <w:tc>
          <w:tcPr>
            <w:tcW w:w="8927" w:type="dxa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color w:val="C9211E"/>
                <w:sz w:val="20"/>
                <w:szCs w:val="20"/>
                <w:shd w:val="clear" w:color="auto" w:fill="FFFF00"/>
              </w:rPr>
            </w:pPr>
            <w:r>
              <w:rPr>
                <w:rFonts w:eastAsia="Calibri"/>
                <w:sz w:val="20"/>
                <w:szCs w:val="20"/>
              </w:rPr>
              <w:t>Com a execução da obra pretende-se atender o maior número de cidadãos com acesso a saúde.</w:t>
            </w: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11. PROVIDÊNCIAS A SEREM ADOTADAS</w:t>
            </w:r>
          </w:p>
        </w:tc>
      </w:tr>
      <w:tr w:rsidR="001A7E95">
        <w:tc>
          <w:tcPr>
            <w:tcW w:w="8927" w:type="dxa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</w:rPr>
              <w:t xml:space="preserve">Não há providências a serem adotadas </w:t>
            </w:r>
            <w:r>
              <w:rPr>
                <w:rFonts w:eastAsia="Calibri"/>
                <w:sz w:val="20"/>
                <w:szCs w:val="20"/>
              </w:rPr>
              <w:t>pela Administração previamente à celebração do contrato</w:t>
            </w:r>
            <w:r>
              <w:rPr>
                <w:rFonts w:eastAsia="Calibri"/>
              </w:rPr>
              <w:t>.</w:t>
            </w: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12. IMPACTOS AMBIENTAIS</w:t>
            </w:r>
          </w:p>
        </w:tc>
      </w:tr>
      <w:tr w:rsidR="001A7E95">
        <w:tc>
          <w:tcPr>
            <w:tcW w:w="8927" w:type="dxa"/>
          </w:tcPr>
          <w:p w:rsidR="001A7E95" w:rsidRDefault="004869B9">
            <w:pPr>
              <w:widowControl w:val="0"/>
              <w:spacing w:after="0" w:line="240" w:lineRule="auto"/>
              <w:jc w:val="both"/>
            </w:pPr>
            <w:r>
              <w:rPr>
                <w:rFonts w:eastAsia="Calibri"/>
                <w:sz w:val="20"/>
                <w:szCs w:val="20"/>
              </w:rPr>
              <w:t>Em regra, não se vislumbra impactos ambientais decorrentes da contratação.</w:t>
            </w:r>
          </w:p>
        </w:tc>
      </w:tr>
    </w:tbl>
    <w:p w:rsidR="001A7E95" w:rsidRDefault="001A7E95">
      <w:pPr>
        <w:spacing w:after="0" w:line="240" w:lineRule="auto"/>
        <w:rPr>
          <w:b/>
        </w:rPr>
      </w:pPr>
    </w:p>
    <w:tbl>
      <w:tblPr>
        <w:tblStyle w:val="Tabelacomgrade"/>
        <w:tblW w:w="8927" w:type="dxa"/>
        <w:tblLayout w:type="fixed"/>
        <w:tblLook w:val="04A0" w:firstRow="1" w:lastRow="0" w:firstColumn="1" w:lastColumn="0" w:noHBand="0" w:noVBand="1"/>
      </w:tblPr>
      <w:tblGrid>
        <w:gridCol w:w="8927"/>
      </w:tblGrid>
      <w:tr w:rsidR="001A7E95">
        <w:tc>
          <w:tcPr>
            <w:tcW w:w="8927" w:type="dxa"/>
            <w:shd w:val="clear" w:color="auto" w:fill="BFBFBF" w:themeFill="background1" w:themeFillShade="BF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13. VIABILIDADE E RAZOABILIDADE DA CONTRATAÇÃO</w:t>
            </w:r>
          </w:p>
        </w:tc>
      </w:tr>
      <w:tr w:rsidR="001A7E95">
        <w:tc>
          <w:tcPr>
            <w:tcW w:w="8927" w:type="dxa"/>
          </w:tcPr>
          <w:p w:rsidR="001A7E95" w:rsidRDefault="004869B9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Os estudos preliminares indicam que esta forma </w:t>
            </w:r>
            <w:r>
              <w:rPr>
                <w:rFonts w:eastAsia="Calibri"/>
                <w:sz w:val="20"/>
                <w:szCs w:val="20"/>
              </w:rPr>
              <w:t>de contratação é perfeitamente viável e que maximiza a probabilidade do alcance dos resultados pretendidos.</w:t>
            </w:r>
          </w:p>
          <w:p w:rsidR="001A7E95" w:rsidRDefault="004869B9">
            <w:pPr>
              <w:widowControl w:val="0"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sz w:val="20"/>
                <w:szCs w:val="20"/>
              </w:rPr>
              <w:t xml:space="preserve">Diante do exposto o(a) responsável declara ser viável a contratação da solução pretendida, </w:t>
            </w:r>
            <w:r>
              <w:rPr>
                <w:rFonts w:eastAsia="Calibri"/>
                <w:sz w:val="20"/>
                <w:szCs w:val="20"/>
              </w:rPr>
              <w:t>com base neste Estudo Técnico Preliminar.</w:t>
            </w:r>
          </w:p>
        </w:tc>
      </w:tr>
    </w:tbl>
    <w:p w:rsidR="001A7E95" w:rsidRDefault="001A7E95">
      <w:pPr>
        <w:jc w:val="center"/>
      </w:pPr>
    </w:p>
    <w:p w:rsidR="001A7E95" w:rsidRDefault="004869B9">
      <w:pPr>
        <w:jc w:val="center"/>
      </w:pPr>
      <w:r>
        <w:t>Venda Nova do</w:t>
      </w:r>
      <w:r>
        <w:t xml:space="preserve"> Imigrante</w:t>
      </w:r>
      <w:r>
        <w:t xml:space="preserve">, </w:t>
      </w:r>
      <w:r>
        <w:t>25 de novembro</w:t>
      </w:r>
      <w:r>
        <w:t xml:space="preserve"> de 2022</w:t>
      </w:r>
    </w:p>
    <w:p w:rsidR="004869B9" w:rsidRDefault="004869B9">
      <w:pPr>
        <w:jc w:val="center"/>
        <w:rPr>
          <w:b/>
          <w:color w:val="C9211E"/>
          <w:shd w:val="clear" w:color="auto" w:fill="FFFF00"/>
        </w:rPr>
      </w:pPr>
    </w:p>
    <w:p w:rsidR="004869B9" w:rsidRDefault="004869B9">
      <w:pPr>
        <w:jc w:val="center"/>
        <w:rPr>
          <w:b/>
          <w:color w:val="C9211E"/>
          <w:shd w:val="clear" w:color="auto" w:fill="FFFF00"/>
        </w:rPr>
      </w:pPr>
    </w:p>
    <w:p w:rsidR="001A7E95" w:rsidRDefault="004869B9">
      <w:pPr>
        <w:jc w:val="center"/>
      </w:pPr>
      <w:r>
        <w:t>____________________________________</w:t>
      </w:r>
    </w:p>
    <w:p w:rsidR="004869B9" w:rsidRDefault="004869B9" w:rsidP="004869B9">
      <w:pPr>
        <w:jc w:val="center"/>
      </w:pPr>
      <w:r>
        <w:t>SECRETARIA MUNICIPAL DE FINANÇAS</w:t>
      </w:r>
    </w:p>
    <w:p w:rsidR="001A7E95" w:rsidRDefault="001A7E95" w:rsidP="004869B9">
      <w:pPr>
        <w:jc w:val="center"/>
        <w:rPr>
          <w:color w:val="C9211E"/>
          <w:shd w:val="clear" w:color="auto" w:fill="FFFF00"/>
        </w:rPr>
      </w:pPr>
      <w:bookmarkStart w:id="0" w:name="_GoBack"/>
      <w:bookmarkEnd w:id="0"/>
    </w:p>
    <w:sectPr w:rsidR="001A7E95">
      <w:footerReference w:type="default" r:id="rId9"/>
      <w:pgSz w:w="11906" w:h="16838"/>
      <w:pgMar w:top="1701" w:right="1134" w:bottom="1134" w:left="1701" w:header="567" w:footer="45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869B9">
      <w:pPr>
        <w:spacing w:after="0" w:line="240" w:lineRule="auto"/>
      </w:pPr>
      <w:r>
        <w:separator/>
      </w:r>
    </w:p>
  </w:endnote>
  <w:endnote w:type="continuationSeparator" w:id="0">
    <w:p w:rsidR="00000000" w:rsidRDefault="00486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6049029"/>
      <w:docPartObj>
        <w:docPartGallery w:val="Page Numbers (Top of Page)"/>
        <w:docPartUnique/>
      </w:docPartObj>
    </w:sdtPr>
    <w:sdtEndPr/>
    <w:sdtContent>
      <w:p w:rsidR="001A7E95" w:rsidRDefault="004869B9">
        <w:pPr>
          <w:pStyle w:val="Rodap"/>
          <w:jc w:val="right"/>
        </w:pPr>
        <w:r>
          <w:rPr>
            <w:b/>
            <w:sz w:val="20"/>
            <w:szCs w:val="20"/>
          </w:rPr>
          <w:t xml:space="preserve">Página </w:t>
        </w:r>
        <w:r>
          <w:rPr>
            <w:b/>
            <w:bCs/>
            <w:sz w:val="20"/>
            <w:szCs w:val="20"/>
          </w:rPr>
          <w:fldChar w:fldCharType="begin"/>
        </w:r>
        <w:r>
          <w:rPr>
            <w:b/>
            <w:bCs/>
            <w:sz w:val="20"/>
            <w:szCs w:val="20"/>
          </w:rPr>
          <w:instrText>PAGE</w:instrText>
        </w:r>
        <w:r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noProof/>
            <w:sz w:val="20"/>
            <w:szCs w:val="20"/>
          </w:rPr>
          <w:t>1</w:t>
        </w:r>
        <w:r>
          <w:rPr>
            <w:b/>
            <w:bCs/>
            <w:sz w:val="20"/>
            <w:szCs w:val="20"/>
          </w:rPr>
          <w:fldChar w:fldCharType="end"/>
        </w:r>
        <w:r>
          <w:rPr>
            <w:b/>
            <w:sz w:val="20"/>
            <w:szCs w:val="20"/>
          </w:rPr>
          <w:t xml:space="preserve"> de </w:t>
        </w:r>
        <w:r>
          <w:rPr>
            <w:b/>
            <w:bCs/>
            <w:sz w:val="20"/>
            <w:szCs w:val="20"/>
          </w:rPr>
          <w:fldChar w:fldCharType="begin"/>
        </w:r>
        <w:r>
          <w:rPr>
            <w:b/>
            <w:bCs/>
            <w:sz w:val="20"/>
            <w:szCs w:val="20"/>
          </w:rPr>
          <w:instrText>NUMPAGES</w:instrText>
        </w:r>
        <w:r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noProof/>
            <w:sz w:val="20"/>
            <w:szCs w:val="20"/>
          </w:rPr>
          <w:t>3</w:t>
        </w:r>
        <w:r>
          <w:rPr>
            <w:b/>
            <w:bCs/>
            <w:sz w:val="20"/>
            <w:szCs w:val="20"/>
          </w:rPr>
          <w:fldChar w:fldCharType="end"/>
        </w:r>
      </w:p>
    </w:sdtContent>
  </w:sdt>
  <w:p w:rsidR="001A7E95" w:rsidRDefault="001A7E9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869B9">
      <w:pPr>
        <w:spacing w:after="0" w:line="240" w:lineRule="auto"/>
      </w:pPr>
      <w:r>
        <w:separator/>
      </w:r>
    </w:p>
  </w:footnote>
  <w:footnote w:type="continuationSeparator" w:id="0">
    <w:p w:rsidR="00000000" w:rsidRDefault="004869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21CE1"/>
    <w:multiLevelType w:val="multilevel"/>
    <w:tmpl w:val="2E3052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3E18DC"/>
    <w:multiLevelType w:val="multilevel"/>
    <w:tmpl w:val="BC1CF894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nsid w:val="288F1FB5"/>
    <w:multiLevelType w:val="multilevel"/>
    <w:tmpl w:val="1E10A59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67B55E9F"/>
    <w:multiLevelType w:val="multilevel"/>
    <w:tmpl w:val="9DB0F7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4">
    <w:nsid w:val="77763CB9"/>
    <w:multiLevelType w:val="multilevel"/>
    <w:tmpl w:val="8990DE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readOnly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E95"/>
    <w:rsid w:val="001A7E95"/>
    <w:rsid w:val="0048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27099-B7D4-4C32-84D2-DBB418D3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60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7749BF"/>
  </w:style>
  <w:style w:type="character" w:customStyle="1" w:styleId="RodapChar">
    <w:name w:val="Rodapé Char"/>
    <w:basedOn w:val="Fontepargpadro"/>
    <w:link w:val="Rodap"/>
    <w:uiPriority w:val="99"/>
    <w:qFormat/>
    <w:rsid w:val="007749BF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749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qFormat/>
    <w:rsid w:val="007749BF"/>
  </w:style>
  <w:style w:type="character" w:styleId="TextodoEspaoReservado">
    <w:name w:val="Placeholder Text"/>
    <w:basedOn w:val="Fontepargpadro"/>
    <w:uiPriority w:val="99"/>
    <w:semiHidden/>
    <w:qFormat/>
    <w:rsid w:val="007D35F4"/>
    <w:rPr>
      <w:color w:val="80808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7749BF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7749BF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749B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7010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7D1C86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7B0C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8BC1B-A023-42A7-8CAB-930A5339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1214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Eduardo Delfino Botacim</cp:lastModifiedBy>
  <cp:revision>2</cp:revision>
  <cp:lastPrinted>2022-11-17T14:10:00Z</cp:lastPrinted>
  <dcterms:created xsi:type="dcterms:W3CDTF">2022-11-25T13:26:00Z</dcterms:created>
  <dcterms:modified xsi:type="dcterms:W3CDTF">2022-11-25T13:26:00Z</dcterms:modified>
  <dc:language>pt-BR</dc:language>
</cp:coreProperties>
</file>